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98" w:rsidRPr="008E0CA0" w:rsidRDefault="00030D98" w:rsidP="00030D98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8E0CA0">
        <w:rPr>
          <w:rStyle w:val="rvts15"/>
          <w:sz w:val="24"/>
        </w:rPr>
        <w:t xml:space="preserve">Додаток </w:t>
      </w:r>
      <w:r w:rsidR="008E0CA0" w:rsidRPr="008E0CA0">
        <w:rPr>
          <w:rStyle w:val="rvts15"/>
          <w:sz w:val="24"/>
        </w:rPr>
        <w:t>2</w:t>
      </w:r>
    </w:p>
    <w:p w:rsidR="00030D98" w:rsidRPr="002D3432" w:rsidRDefault="00030D98" w:rsidP="00030D98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030D98" w:rsidRPr="002D3432" w:rsidRDefault="00030D98" w:rsidP="00030D98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</w:t>
      </w:r>
      <w:proofErr w:type="spellStart"/>
      <w:r w:rsidRPr="002D3432">
        <w:rPr>
          <w:rStyle w:val="rvts15"/>
          <w:sz w:val="24"/>
        </w:rPr>
        <w:t>Держгеокадастру</w:t>
      </w:r>
      <w:proofErr w:type="spellEnd"/>
      <w:r w:rsidRPr="002D3432">
        <w:rPr>
          <w:rStyle w:val="rvts15"/>
          <w:sz w:val="24"/>
        </w:rPr>
        <w:t xml:space="preserve"> у Хмельницькій області</w:t>
      </w:r>
    </w:p>
    <w:p w:rsidR="00030D98" w:rsidRPr="0054384B" w:rsidRDefault="00030D98" w:rsidP="00030D98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9867E4">
        <w:rPr>
          <w:rStyle w:val="rvts15"/>
          <w:sz w:val="24"/>
        </w:rPr>
        <w:t xml:space="preserve">  </w:t>
      </w:r>
      <w:r w:rsidRPr="0054384B">
        <w:rPr>
          <w:rStyle w:val="rvts15"/>
          <w:sz w:val="24"/>
        </w:rPr>
        <w:t xml:space="preserve">    </w:t>
      </w:r>
      <w:r w:rsidR="008E0CA0">
        <w:rPr>
          <w:rStyle w:val="rvts15"/>
          <w:sz w:val="24"/>
        </w:rPr>
        <w:t xml:space="preserve">   </w:t>
      </w:r>
      <w:r w:rsidRPr="0054384B">
        <w:rPr>
          <w:rStyle w:val="rvts15"/>
          <w:sz w:val="24"/>
        </w:rPr>
        <w:t xml:space="preserve">від </w:t>
      </w:r>
      <w:r w:rsidR="001044CA">
        <w:rPr>
          <w:rStyle w:val="rvts15"/>
          <w:sz w:val="24"/>
        </w:rPr>
        <w:t>07</w:t>
      </w:r>
      <w:r w:rsidR="008E0CA0">
        <w:rPr>
          <w:rStyle w:val="rvts15"/>
          <w:sz w:val="24"/>
        </w:rPr>
        <w:t>.0</w:t>
      </w:r>
      <w:r w:rsidR="009867E4">
        <w:rPr>
          <w:rStyle w:val="rvts15"/>
          <w:sz w:val="24"/>
        </w:rPr>
        <w:t>5</w:t>
      </w:r>
      <w:r w:rsidR="008E0CA0">
        <w:rPr>
          <w:rStyle w:val="rvts15"/>
          <w:sz w:val="24"/>
        </w:rPr>
        <w:t>.2021</w:t>
      </w:r>
      <w:r>
        <w:rPr>
          <w:rStyle w:val="rvts15"/>
          <w:sz w:val="24"/>
        </w:rPr>
        <w:t xml:space="preserve"> року № </w:t>
      </w:r>
      <w:r w:rsidR="00315681">
        <w:rPr>
          <w:rStyle w:val="rvts15"/>
          <w:sz w:val="24"/>
        </w:rPr>
        <w:t>185</w:t>
      </w:r>
      <w:r w:rsidR="009867E4">
        <w:rPr>
          <w:rStyle w:val="rvts15"/>
          <w:sz w:val="24"/>
        </w:rPr>
        <w:t>-к</w:t>
      </w:r>
    </w:p>
    <w:p w:rsidR="00030D98" w:rsidRPr="00802841" w:rsidRDefault="00030D98" w:rsidP="00030D98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 xml:space="preserve">проведення конкурсу на зайняття посади </w:t>
      </w:r>
      <w:r w:rsidRPr="00802841">
        <w:rPr>
          <w:b/>
          <w:sz w:val="24"/>
        </w:rPr>
        <w:t>державної служби категорії «</w:t>
      </w:r>
      <w:r>
        <w:rPr>
          <w:b/>
          <w:sz w:val="24"/>
        </w:rPr>
        <w:t>Б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030D98" w:rsidRDefault="00030D98" w:rsidP="00030D98">
      <w:pPr>
        <w:tabs>
          <w:tab w:val="left" w:pos="1342"/>
        </w:tabs>
        <w:jc w:val="center"/>
        <w:rPr>
          <w:rStyle w:val="rvts15"/>
          <w:b/>
          <w:sz w:val="24"/>
        </w:rPr>
      </w:pPr>
      <w:r>
        <w:rPr>
          <w:b/>
          <w:color w:val="000000"/>
          <w:sz w:val="24"/>
        </w:rPr>
        <w:t>начальника</w:t>
      </w:r>
      <w:r w:rsidRPr="004659A5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Відділу у </w:t>
      </w:r>
      <w:proofErr w:type="spellStart"/>
      <w:r>
        <w:rPr>
          <w:b/>
          <w:color w:val="000000"/>
          <w:sz w:val="24"/>
        </w:rPr>
        <w:t>Деражнянському</w:t>
      </w:r>
      <w:proofErr w:type="spellEnd"/>
      <w:r>
        <w:rPr>
          <w:b/>
          <w:color w:val="000000"/>
          <w:sz w:val="24"/>
        </w:rPr>
        <w:t xml:space="preserve"> районі </w:t>
      </w:r>
      <w:r>
        <w:rPr>
          <w:b/>
          <w:color w:val="000000"/>
          <w:sz w:val="24"/>
        </w:rPr>
        <w:br/>
      </w:r>
      <w:r w:rsidRPr="00963533">
        <w:rPr>
          <w:rStyle w:val="rvts15"/>
          <w:b/>
          <w:sz w:val="24"/>
        </w:rPr>
        <w:t xml:space="preserve">Головного управління </w:t>
      </w:r>
      <w:proofErr w:type="spellStart"/>
      <w:r w:rsidRPr="00963533">
        <w:rPr>
          <w:rStyle w:val="rvts15"/>
          <w:b/>
          <w:sz w:val="24"/>
        </w:rPr>
        <w:t>Держгеокадастру</w:t>
      </w:r>
      <w:proofErr w:type="spellEnd"/>
      <w:r w:rsidRPr="00963533">
        <w:rPr>
          <w:rStyle w:val="rvts15"/>
          <w:b/>
          <w:sz w:val="24"/>
        </w:rPr>
        <w:t xml:space="preserve"> у Хмельницькій області</w:t>
      </w:r>
    </w:p>
    <w:p w:rsidR="00030D98" w:rsidRPr="00E91A16" w:rsidRDefault="00030D98" w:rsidP="00030D98">
      <w:pPr>
        <w:tabs>
          <w:tab w:val="left" w:pos="1342"/>
        </w:tabs>
        <w:jc w:val="center"/>
        <w:rPr>
          <w:rStyle w:val="rvts15"/>
          <w:b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030D98" w:rsidRPr="00802841" w:rsidTr="001471DD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8" w:rsidRPr="00802841" w:rsidRDefault="00030D98" w:rsidP="001471DD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030D98" w:rsidRPr="00802841" w:rsidTr="001471DD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802841" w:rsidRDefault="00030D98" w:rsidP="001471D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57546B" w:rsidRDefault="00030D98" w:rsidP="001471DD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>1. Здійснення керівництва Відділом, несе персональну відповідальність за організацію та результати його діяльності</w:t>
            </w:r>
            <w:r w:rsidRPr="0057546B">
              <w:rPr>
                <w:sz w:val="24"/>
                <w:lang w:eastAsia="uk-UA"/>
              </w:rPr>
              <w:t>.</w:t>
            </w:r>
          </w:p>
          <w:p w:rsidR="00030D98" w:rsidRDefault="00030D98" w:rsidP="001471DD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  <w:lang w:eastAsia="uk-UA"/>
              </w:rPr>
            </w:pPr>
            <w:r>
              <w:rPr>
                <w:sz w:val="24"/>
                <w:lang w:eastAsia="uk-UA"/>
              </w:rPr>
              <w:t xml:space="preserve">2. </w:t>
            </w:r>
            <w:r w:rsidRPr="0057546B">
              <w:rPr>
                <w:sz w:val="24"/>
                <w:lang w:eastAsia="uk-UA"/>
              </w:rPr>
              <w:t xml:space="preserve">Організація </w:t>
            </w:r>
            <w:r>
              <w:rPr>
                <w:sz w:val="24"/>
                <w:lang w:eastAsia="uk-UA"/>
              </w:rPr>
              <w:t>та забезпечення виконання Відділом Конституції та законів України, указів Президента України та постанов Верховної Ради України, актів Кабінету Міністрів Укра</w:t>
            </w:r>
            <w:bookmarkStart w:id="0" w:name="_GoBack"/>
            <w:bookmarkEnd w:id="0"/>
            <w:r>
              <w:rPr>
                <w:sz w:val="24"/>
                <w:lang w:eastAsia="uk-UA"/>
              </w:rPr>
              <w:t>їни, інших актів законодавства, доручень Прем</w:t>
            </w:r>
            <w:r w:rsidRPr="008C7993">
              <w:rPr>
                <w:sz w:val="24"/>
                <w:lang w:eastAsia="uk-UA"/>
              </w:rPr>
              <w:t>’</w:t>
            </w:r>
            <w:r>
              <w:rPr>
                <w:sz w:val="24"/>
                <w:lang w:eastAsia="uk-UA"/>
              </w:rPr>
              <w:t xml:space="preserve">єра–міністра України, наказів Міністерства розвитку економіки, торгівлі та сільського господарства України, доручень Міністра розвитку економіки, торгівлі та сільського господарства України, його першого заступника та заступників, наказів </w:t>
            </w:r>
            <w:proofErr w:type="spellStart"/>
            <w:r>
              <w:rPr>
                <w:sz w:val="24"/>
                <w:lang w:eastAsia="uk-UA"/>
              </w:rPr>
              <w:t>Держгеокадастру</w:t>
            </w:r>
            <w:proofErr w:type="spellEnd"/>
            <w:r>
              <w:rPr>
                <w:sz w:val="24"/>
                <w:lang w:eastAsia="uk-UA"/>
              </w:rPr>
              <w:t xml:space="preserve">, Головного управління </w:t>
            </w:r>
            <w:proofErr w:type="spellStart"/>
            <w:r>
              <w:rPr>
                <w:sz w:val="24"/>
                <w:lang w:eastAsia="uk-UA"/>
              </w:rPr>
              <w:t>Держгеокадастру</w:t>
            </w:r>
            <w:proofErr w:type="spellEnd"/>
            <w:r>
              <w:rPr>
                <w:sz w:val="24"/>
                <w:lang w:eastAsia="uk-UA"/>
              </w:rPr>
              <w:t xml:space="preserve"> у Хмельницькій області, доручень Голови </w:t>
            </w:r>
            <w:proofErr w:type="spellStart"/>
            <w:r>
              <w:rPr>
                <w:sz w:val="24"/>
                <w:lang w:eastAsia="uk-UA"/>
              </w:rPr>
              <w:t>Держгеокадастру</w:t>
            </w:r>
            <w:proofErr w:type="spellEnd"/>
            <w:r>
              <w:rPr>
                <w:sz w:val="24"/>
                <w:lang w:eastAsia="uk-UA"/>
              </w:rPr>
              <w:t xml:space="preserve">, Головного управління </w:t>
            </w:r>
            <w:proofErr w:type="spellStart"/>
            <w:r>
              <w:rPr>
                <w:sz w:val="24"/>
                <w:lang w:eastAsia="uk-UA"/>
              </w:rPr>
              <w:t>Держгеокадастру</w:t>
            </w:r>
            <w:proofErr w:type="spellEnd"/>
            <w:r>
              <w:rPr>
                <w:sz w:val="24"/>
                <w:lang w:eastAsia="uk-UA"/>
              </w:rPr>
              <w:t xml:space="preserve"> у Хмельницькій області актів місцевої державної адміністрації та органів місцевого самоврядування.</w:t>
            </w:r>
          </w:p>
          <w:p w:rsidR="00030D98" w:rsidRPr="0057546B" w:rsidRDefault="00030D98" w:rsidP="001471DD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3. Надання пропозиції щодо програми розвитку земельних відносин на території району, організація виконання робіт, пов’язаних з проведенням земельної реформи</w:t>
            </w:r>
            <w:r w:rsidRPr="0057546B">
              <w:rPr>
                <w:sz w:val="24"/>
              </w:rPr>
              <w:t>.</w:t>
            </w:r>
          </w:p>
          <w:p w:rsidR="00030D98" w:rsidRDefault="00030D98" w:rsidP="001471DD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4. Здійснення розгляду, погодження або відмови у погодженні проектів землеустрою щодо відведення земельної ділянки.</w:t>
            </w:r>
          </w:p>
          <w:p w:rsidR="00030D98" w:rsidRPr="0057546B" w:rsidRDefault="00030D98" w:rsidP="001471DD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5. </w:t>
            </w:r>
            <w:r w:rsidRPr="0057546B">
              <w:rPr>
                <w:color w:val="000000"/>
                <w:sz w:val="24"/>
              </w:rPr>
              <w:t>Організація</w:t>
            </w:r>
            <w:r>
              <w:rPr>
                <w:color w:val="000000"/>
                <w:sz w:val="24"/>
              </w:rPr>
              <w:t xml:space="preserve"> виконання робіт із землеустрою, охорони та оцінки земель, що проводяться з метою внесення відомостей до Державного земельного кадастру</w:t>
            </w:r>
            <w:r w:rsidRPr="0057546B">
              <w:rPr>
                <w:color w:val="000000"/>
                <w:sz w:val="24"/>
              </w:rPr>
              <w:t>.</w:t>
            </w:r>
          </w:p>
          <w:p w:rsidR="00030D98" w:rsidRPr="0057546B" w:rsidRDefault="00030D98" w:rsidP="001471DD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sz w:val="24"/>
              </w:rPr>
              <w:t>6. Забезпечення організації заходів щодо проведення нормативної грошової оцінки земель та проведення земельних торгів; забезпечення здійснення землеустрою та проведення державної інвентаризації земель</w:t>
            </w:r>
            <w:r w:rsidRPr="0057546B">
              <w:rPr>
                <w:sz w:val="24"/>
              </w:rPr>
              <w:t>.</w:t>
            </w:r>
          </w:p>
          <w:p w:rsidR="00030D98" w:rsidRDefault="00030D98" w:rsidP="001471DD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7. </w:t>
            </w:r>
            <w:r>
              <w:rPr>
                <w:sz w:val="24"/>
              </w:rPr>
              <w:t>Забезпечення подання пропозицій щодо розпорядження землями державної та комунальної власності, встановлення меж району, села і селища, регулювання земельних відносин.</w:t>
            </w:r>
          </w:p>
          <w:p w:rsidR="00030D98" w:rsidRDefault="00030D98" w:rsidP="001471DD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8.</w:t>
            </w:r>
            <w:r>
              <w:rPr>
                <w:sz w:val="24"/>
              </w:rPr>
              <w:t xml:space="preserve"> Забезпечення ведення Державного земельного кадастру, здійснення інформаційної взаємодії Державного земельного кадастру з іншими системами в установленому порядку; організація ведення поземельних книг, надання відомостей з Державного земельного кадастру щодо об’єктів Державного земельного кадастру.</w:t>
            </w:r>
          </w:p>
          <w:p w:rsidR="00030D98" w:rsidRDefault="00030D98" w:rsidP="001471DD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9. Представництво інтересів Головного управління </w:t>
            </w:r>
            <w:proofErr w:type="spellStart"/>
            <w:r>
              <w:rPr>
                <w:color w:val="000000"/>
                <w:sz w:val="24"/>
              </w:rPr>
              <w:t>Держгеокадастру</w:t>
            </w:r>
            <w:proofErr w:type="spellEnd"/>
            <w:r>
              <w:rPr>
                <w:color w:val="000000"/>
                <w:sz w:val="24"/>
              </w:rPr>
              <w:t xml:space="preserve"> у Хмельницькій області, як уповноважена особа в місцевих судах загальної юрисдикції.</w:t>
            </w:r>
          </w:p>
          <w:p w:rsidR="00030D98" w:rsidRPr="007C44C6" w:rsidRDefault="00030D98" w:rsidP="001471DD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>
              <w:rPr>
                <w:color w:val="000000"/>
                <w:sz w:val="24"/>
              </w:rPr>
              <w:t>10. Здійснення р</w:t>
            </w:r>
            <w:r>
              <w:rPr>
                <w:sz w:val="24"/>
              </w:rPr>
              <w:t>озгляду звернень громадян з питань, що належать до компетенції Відділу.</w:t>
            </w:r>
          </w:p>
        </w:tc>
      </w:tr>
      <w:tr w:rsidR="00030D98" w:rsidRPr="00802841" w:rsidTr="001471DD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802841" w:rsidRDefault="00030D98" w:rsidP="001471D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7C44C6" w:rsidRDefault="00030D98" w:rsidP="001471DD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>
              <w:t xml:space="preserve">6100 </w:t>
            </w:r>
            <w:r w:rsidRPr="007C44C6">
              <w:t xml:space="preserve">грн., </w:t>
            </w:r>
          </w:p>
          <w:p w:rsidR="00030D98" w:rsidRDefault="00030D98" w:rsidP="001471DD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службу»;</w:t>
            </w:r>
          </w:p>
          <w:p w:rsidR="00030D98" w:rsidRPr="007C44C6" w:rsidRDefault="00030D98" w:rsidP="001471DD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>
              <w:t xml:space="preserve">рів України від 18 січня </w:t>
            </w:r>
            <w:r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030D98" w:rsidRPr="007C44C6" w:rsidRDefault="00030D98" w:rsidP="001471DD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</w:tc>
      </w:tr>
      <w:tr w:rsidR="00030D98" w:rsidRPr="00802841" w:rsidTr="001471DD">
        <w:trPr>
          <w:trHeight w:val="15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8" w:rsidRPr="00802841" w:rsidRDefault="00030D98" w:rsidP="001471DD">
            <w:pPr>
              <w:pStyle w:val="rvps14"/>
              <w:rPr>
                <w:b/>
              </w:rPr>
            </w:pPr>
            <w:r w:rsidRPr="00802841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8" w:rsidRDefault="00030D98" w:rsidP="001471DD">
            <w:pPr>
              <w:pStyle w:val="rvps14"/>
              <w:spacing w:before="0" w:beforeAutospacing="0" w:after="0" w:afterAutospacing="0"/>
              <w:ind w:left="127"/>
            </w:pPr>
            <w:r>
              <w:t>б</w:t>
            </w:r>
            <w:r w:rsidRPr="00802841">
              <w:t>езстроково</w:t>
            </w:r>
          </w:p>
          <w:p w:rsidR="00030D98" w:rsidRDefault="00030D98" w:rsidP="001471DD">
            <w:pPr>
              <w:pStyle w:val="rvps14"/>
              <w:spacing w:before="0" w:beforeAutospacing="0" w:after="0" w:afterAutospacing="0"/>
              <w:ind w:left="127"/>
            </w:pPr>
          </w:p>
          <w:p w:rsidR="00030D98" w:rsidRPr="00802841" w:rsidRDefault="00030D98" w:rsidP="001471DD">
            <w:pPr>
              <w:pStyle w:val="rvps14"/>
              <w:spacing w:before="0" w:beforeAutospacing="0" w:after="0" w:afterAutospacing="0"/>
              <w:ind w:left="127"/>
            </w:pPr>
            <w: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030D98" w:rsidRPr="00802841" w:rsidTr="001471DD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A100A9" w:rsidRDefault="00030D98" w:rsidP="001471DD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3F0866" w:rsidRDefault="00030D98" w:rsidP="001471DD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030D98" w:rsidRPr="003F0866" w:rsidRDefault="00030D98" w:rsidP="001471DD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030D98" w:rsidRPr="003F0866" w:rsidRDefault="00030D98" w:rsidP="001471DD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030D98" w:rsidRPr="003F0866" w:rsidRDefault="00030D98" w:rsidP="001471DD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:rsidR="00030D98" w:rsidRPr="003F0866" w:rsidRDefault="00030D98" w:rsidP="001471DD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030D98" w:rsidRPr="003F0866" w:rsidRDefault="00030D98" w:rsidP="001471DD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мовою;</w:t>
            </w:r>
          </w:p>
          <w:p w:rsidR="00030D98" w:rsidRPr="003F0866" w:rsidRDefault="00030D98" w:rsidP="001471DD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30D98" w:rsidRPr="003F0866" w:rsidRDefault="00030D98" w:rsidP="001471DD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30D98" w:rsidRDefault="00030D98" w:rsidP="001471DD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030D98" w:rsidRDefault="00030D98" w:rsidP="001471DD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</w:p>
          <w:p w:rsidR="00030D98" w:rsidRPr="001C75D2" w:rsidRDefault="00030D98" w:rsidP="009867E4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Pr="00C2355B">
              <w:rPr>
                <w:sz w:val="24"/>
              </w:rPr>
              <w:t xml:space="preserve">до 17 год. </w:t>
            </w:r>
            <w:r>
              <w:rPr>
                <w:sz w:val="24"/>
              </w:rPr>
              <w:t>0</w:t>
            </w:r>
            <w:r w:rsidRPr="008E0CA0">
              <w:rPr>
                <w:sz w:val="24"/>
              </w:rPr>
              <w:t xml:space="preserve">0 хв. </w:t>
            </w:r>
            <w:r w:rsidR="009867E4">
              <w:rPr>
                <w:sz w:val="24"/>
              </w:rPr>
              <w:t>20</w:t>
            </w:r>
            <w:r w:rsidRPr="008E0CA0">
              <w:rPr>
                <w:sz w:val="24"/>
              </w:rPr>
              <w:t xml:space="preserve"> травня 2021 року</w:t>
            </w:r>
            <w:r w:rsidRPr="00C2355B">
              <w:rPr>
                <w:sz w:val="24"/>
              </w:rPr>
              <w:t xml:space="preserve"> </w:t>
            </w:r>
          </w:p>
        </w:tc>
      </w:tr>
      <w:tr w:rsidR="00030D98" w:rsidRPr="00802841" w:rsidTr="001471DD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FE2087" w:rsidRDefault="00030D98" w:rsidP="001471DD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3E429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FE2087" w:rsidRDefault="00030D98" w:rsidP="001471DD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>
              <w:rPr>
                <w:lang w:val="uk-UA"/>
              </w:rPr>
              <w:t>З</w:t>
            </w:r>
            <w:r w:rsidRPr="00C356E5">
              <w:rPr>
                <w:lang w:val="uk-UA"/>
              </w:rPr>
              <w:t>аява щодо забезпечення розумним пристосування</w:t>
            </w:r>
            <w:r>
              <w:rPr>
                <w:lang w:val="uk-UA"/>
              </w:rPr>
              <w:t>м</w:t>
            </w:r>
            <w:r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030D98" w:rsidRPr="00802841" w:rsidTr="001471DD">
        <w:trPr>
          <w:trHeight w:val="605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8" w:rsidRPr="00DC5DF0" w:rsidRDefault="00030D98" w:rsidP="001471DD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</w:t>
            </w:r>
            <w:r>
              <w:rPr>
                <w:rFonts w:eastAsia="Times New Roman"/>
                <w:b/>
                <w:sz w:val="24"/>
              </w:rPr>
              <w:br/>
            </w:r>
            <w:r w:rsidRPr="00DC5DF0">
              <w:rPr>
                <w:rFonts w:eastAsia="Times New Roman"/>
                <w:b/>
                <w:sz w:val="24"/>
              </w:rPr>
              <w:t xml:space="preserve">Місце або спосіб проведення тестування. </w:t>
            </w:r>
          </w:p>
          <w:p w:rsidR="00030D98" w:rsidRPr="00DC5DF0" w:rsidRDefault="00030D98" w:rsidP="001471DD">
            <w:pPr>
              <w:ind w:right="126" w:firstLine="15"/>
              <w:rPr>
                <w:rFonts w:eastAsia="Times New Roman"/>
                <w:b/>
                <w:sz w:val="24"/>
              </w:rPr>
            </w:pPr>
          </w:p>
          <w:p w:rsidR="00030D98" w:rsidRDefault="00030D98" w:rsidP="001471DD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030D98" w:rsidRPr="003E429C" w:rsidRDefault="00030D98" w:rsidP="001471DD">
            <w:pPr>
              <w:pStyle w:val="rvps14"/>
              <w:jc w:val="both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Default="009867E4" w:rsidP="001471D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="00030D98">
              <w:rPr>
                <w:lang w:val="uk-UA"/>
              </w:rPr>
              <w:t xml:space="preserve"> </w:t>
            </w:r>
            <w:r>
              <w:rPr>
                <w:lang w:val="uk-UA"/>
              </w:rPr>
              <w:t>червня</w:t>
            </w:r>
            <w:r w:rsidR="00030D98">
              <w:rPr>
                <w:lang w:val="uk-UA"/>
              </w:rPr>
              <w:t xml:space="preserve"> 2021 року 10 год. 00 хв.</w:t>
            </w:r>
          </w:p>
          <w:p w:rsidR="00030D98" w:rsidRDefault="00030D98" w:rsidP="001471D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030D98" w:rsidRDefault="00030D98" w:rsidP="001471D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030D98" w:rsidRDefault="00030D98" w:rsidP="001471D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030D98" w:rsidRDefault="00030D98" w:rsidP="001471D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030D98" w:rsidRDefault="00030D98" w:rsidP="001471D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030D98" w:rsidRDefault="00030D98" w:rsidP="001471D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030D98" w:rsidRDefault="00030D98" w:rsidP="001471D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030D98" w:rsidRDefault="00030D98" w:rsidP="001471D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030D98" w:rsidRDefault="00030D98" w:rsidP="001471D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030D98" w:rsidRDefault="00030D98" w:rsidP="001471D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030D98" w:rsidRPr="00802841" w:rsidRDefault="00030D98" w:rsidP="001471DD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030D98" w:rsidRPr="00802841" w:rsidTr="001471DD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8" w:rsidRPr="00802841" w:rsidRDefault="00030D98" w:rsidP="001471DD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Прізвище, ім’я та по батькові, номер телефону та адреса електронної пошти </w:t>
            </w:r>
            <w:r w:rsidRPr="00802841">
              <w:rPr>
                <w:b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Default="00030D98" w:rsidP="001471DD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Щесняк</w:t>
            </w:r>
            <w:proofErr w:type="spellEnd"/>
            <w:r>
              <w:rPr>
                <w:lang w:val="uk-UA"/>
              </w:rPr>
              <w:t xml:space="preserve"> Ольга Анатоліївна,</w:t>
            </w:r>
          </w:p>
          <w:p w:rsidR="00030D98" w:rsidRPr="00802841" w:rsidRDefault="00030D98" w:rsidP="001471DD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030D98" w:rsidRPr="00802841" w:rsidRDefault="00030D98" w:rsidP="001471DD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030D98" w:rsidRPr="00802841" w:rsidTr="001471DD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802841" w:rsidRDefault="00030D98" w:rsidP="001471D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030D98" w:rsidRPr="00802841" w:rsidTr="001471D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D71046" w:rsidRDefault="00030D98" w:rsidP="001471D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802841" w:rsidRDefault="00030D98" w:rsidP="001471D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F72B03" w:rsidRDefault="00030D98" w:rsidP="001471DD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 xml:space="preserve">ступінь </w:t>
            </w:r>
            <w:r w:rsidRPr="00F72B03">
              <w:rPr>
                <w:lang w:eastAsia="ru-RU"/>
              </w:rPr>
              <w:t>вищ</w:t>
            </w:r>
            <w:r>
              <w:rPr>
                <w:lang w:eastAsia="ru-RU"/>
              </w:rPr>
              <w:t>ої</w:t>
            </w:r>
            <w:r w:rsidRPr="00F72B03">
              <w:rPr>
                <w:lang w:eastAsia="ru-RU"/>
              </w:rPr>
              <w:t xml:space="preserve"> освіт</w:t>
            </w:r>
            <w:r>
              <w:rPr>
                <w:lang w:eastAsia="ru-RU"/>
              </w:rPr>
              <w:t>и</w:t>
            </w:r>
            <w:r w:rsidRPr="00F72B03">
              <w:rPr>
                <w:lang w:eastAsia="ru-RU"/>
              </w:rPr>
              <w:t xml:space="preserve"> не нижче </w:t>
            </w:r>
            <w:r>
              <w:rPr>
                <w:lang w:eastAsia="ru-RU"/>
              </w:rPr>
              <w:t>магістра</w:t>
            </w:r>
            <w:r w:rsidRPr="00F72B03">
              <w:rPr>
                <w:rStyle w:val="rvts0"/>
              </w:rPr>
              <w:t xml:space="preserve"> </w:t>
            </w:r>
          </w:p>
        </w:tc>
      </w:tr>
      <w:tr w:rsidR="00030D98" w:rsidRPr="00802841" w:rsidTr="001471DD">
        <w:trPr>
          <w:trHeight w:val="3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D71046" w:rsidRDefault="00030D98" w:rsidP="001471D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802841" w:rsidRDefault="00030D98" w:rsidP="001471D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023B33" w:rsidRDefault="00030D98" w:rsidP="001471DD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030D98" w:rsidRPr="00802841" w:rsidTr="001471DD">
        <w:trPr>
          <w:trHeight w:val="5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D71046" w:rsidRDefault="00030D98" w:rsidP="001471D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802841" w:rsidRDefault="00030D98" w:rsidP="001471DD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023B33" w:rsidRDefault="00030D98" w:rsidP="001471DD">
            <w:pPr>
              <w:pStyle w:val="rvps14"/>
              <w:ind w:left="127"/>
            </w:pPr>
            <w:r w:rsidRPr="00023B33">
              <w:rPr>
                <w:rStyle w:val="rvts0"/>
              </w:rPr>
              <w:t>вільне володіння державною мовою</w:t>
            </w:r>
          </w:p>
        </w:tc>
      </w:tr>
      <w:tr w:rsidR="00030D98" w:rsidRPr="00802841" w:rsidTr="001471DD">
        <w:trPr>
          <w:trHeight w:val="54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D71046" w:rsidRDefault="00030D98" w:rsidP="001471D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802841" w:rsidRDefault="00030D98" w:rsidP="001471D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802841" w:rsidRDefault="00030D98" w:rsidP="001471D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030D98" w:rsidRPr="00802841" w:rsidTr="001471DD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802841" w:rsidRDefault="00030D98" w:rsidP="001471DD">
            <w:pPr>
              <w:pStyle w:val="rvps14"/>
              <w:ind w:left="127"/>
              <w:jc w:val="center"/>
              <w:rPr>
                <w:rStyle w:val="rvts0"/>
              </w:rPr>
            </w:pPr>
            <w:r>
              <w:rPr>
                <w:b/>
              </w:rPr>
              <w:t>Вимоги до компетентності</w:t>
            </w:r>
          </w:p>
        </w:tc>
      </w:tr>
      <w:tr w:rsidR="00030D98" w:rsidRPr="00802841" w:rsidTr="001471DD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521FF7" w:rsidRDefault="00030D98" w:rsidP="001471D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D98" w:rsidRPr="00521FF7" w:rsidRDefault="00030D98" w:rsidP="001471D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030D98" w:rsidRPr="00802841" w:rsidTr="001471D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E91A16" w:rsidRDefault="00030D98" w:rsidP="001471D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Default="00030D98" w:rsidP="00147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Встановлення цілей, пріоритетів та орієнтирів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Default="00030D98" w:rsidP="00030D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встановлювати чіткі, реальні, досяжні групові чи індивідуальні цілі та пріоритети;</w:t>
            </w:r>
          </w:p>
          <w:p w:rsidR="00030D98" w:rsidRDefault="00030D98" w:rsidP="00030D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уміння визначати орієнтири для досягнення групових чи індивідуальних цілей.</w:t>
            </w:r>
          </w:p>
        </w:tc>
      </w:tr>
      <w:tr w:rsidR="00030D98" w:rsidRPr="00802841" w:rsidTr="001471DD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E91A16" w:rsidRDefault="00030D98" w:rsidP="001471D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91A16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741020" w:rsidRDefault="00030D98" w:rsidP="00147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Управління організацією</w:t>
            </w:r>
            <w:r w:rsidRPr="00741020">
              <w:rPr>
                <w:rFonts w:eastAsia="Times New Roman"/>
                <w:b/>
                <w:color w:val="000000"/>
                <w:sz w:val="24"/>
              </w:rPr>
              <w:t xml:space="preserve"> робот</w:t>
            </w:r>
            <w:r>
              <w:rPr>
                <w:rFonts w:eastAsia="Times New Roman"/>
                <w:b/>
                <w:color w:val="000000"/>
                <w:sz w:val="24"/>
              </w:rPr>
              <w:t>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Default="00030D98" w:rsidP="00030D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бачення цілі;</w:t>
            </w:r>
          </w:p>
          <w:p w:rsidR="00030D98" w:rsidRDefault="00030D98" w:rsidP="00030D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ефективне управління ресурсами;</w:t>
            </w:r>
          </w:p>
          <w:p w:rsidR="00030D98" w:rsidRDefault="00030D98" w:rsidP="00030D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планування реалізації;</w:t>
            </w:r>
          </w:p>
          <w:p w:rsidR="00030D98" w:rsidRDefault="00030D98" w:rsidP="00030D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ефективне формування та управління процесами.</w:t>
            </w:r>
          </w:p>
        </w:tc>
      </w:tr>
      <w:tr w:rsidR="00030D98" w:rsidRPr="00802841" w:rsidTr="001471DD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Default="00030D98" w:rsidP="001471D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F708E1" w:rsidRDefault="00030D98" w:rsidP="001471DD">
            <w:pPr>
              <w:ind w:left="110" w:hanging="88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Прийняття ефективних рішень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3C70A6" w:rsidRDefault="00030D98" w:rsidP="001471DD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здатність приймати вчасні та виважені рішення</w:t>
            </w:r>
            <w:r w:rsidRPr="003C70A6">
              <w:rPr>
                <w:rFonts w:eastAsia="Times New Roman"/>
                <w:sz w:val="24"/>
              </w:rPr>
              <w:t>;</w:t>
            </w:r>
          </w:p>
          <w:p w:rsidR="00030D98" w:rsidRPr="003C70A6" w:rsidRDefault="00030D98" w:rsidP="001471DD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аналіз альтернатив</w:t>
            </w:r>
            <w:r w:rsidRPr="003C70A6">
              <w:rPr>
                <w:rFonts w:eastAsia="Times New Roman"/>
                <w:sz w:val="24"/>
              </w:rPr>
              <w:t>;</w:t>
            </w:r>
          </w:p>
          <w:p w:rsidR="00030D98" w:rsidRDefault="00030D98" w:rsidP="001471DD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спроможність іти на виважений ризик;</w:t>
            </w:r>
          </w:p>
          <w:p w:rsidR="00030D98" w:rsidRPr="003C70A6" w:rsidRDefault="00030D98" w:rsidP="001471DD">
            <w:pPr>
              <w:tabs>
                <w:tab w:val="left" w:pos="410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автономність та ініціативність щодо пропозицій і рішень.</w:t>
            </w:r>
          </w:p>
        </w:tc>
      </w:tr>
      <w:tr w:rsidR="00030D98" w:rsidRPr="00802841" w:rsidTr="001471DD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B2160F" w:rsidRDefault="00030D98" w:rsidP="001471D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E91A16" w:rsidRDefault="00030D98" w:rsidP="001471DD">
            <w:pPr>
              <w:ind w:left="22" w:firstLine="0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Комунікація та взаємодія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E91A16" w:rsidRDefault="00030D98" w:rsidP="001471DD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вміння </w:t>
            </w:r>
            <w:r>
              <w:rPr>
                <w:rFonts w:eastAsia="Times New Roman"/>
                <w:sz w:val="24"/>
              </w:rPr>
              <w:t>визначати заінтересовані і впливові сторони та розбудовувати партнерські відносини</w:t>
            </w:r>
            <w:r w:rsidRPr="00E91A16">
              <w:rPr>
                <w:rFonts w:eastAsia="Times New Roman"/>
                <w:sz w:val="24"/>
              </w:rPr>
              <w:t>;</w:t>
            </w:r>
          </w:p>
          <w:p w:rsidR="00030D98" w:rsidRPr="00E91A16" w:rsidRDefault="00030D98" w:rsidP="001471DD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здатність ефективно взаємодіяти – дослухатися, сприймати та викладати думку</w:t>
            </w:r>
            <w:r w:rsidRPr="00E91A16">
              <w:rPr>
                <w:rFonts w:eastAsia="Times New Roman"/>
                <w:sz w:val="24"/>
              </w:rPr>
              <w:t xml:space="preserve">; </w:t>
            </w:r>
          </w:p>
          <w:p w:rsidR="00030D98" w:rsidRPr="00E91A16" w:rsidRDefault="00030D98" w:rsidP="001471DD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</w:t>
            </w:r>
            <w:r>
              <w:rPr>
                <w:rFonts w:eastAsia="Times New Roman"/>
                <w:sz w:val="24"/>
              </w:rPr>
              <w:t>вміння публічно виступати перед аудиторією</w:t>
            </w:r>
            <w:r w:rsidRPr="00E91A16">
              <w:rPr>
                <w:rFonts w:eastAsia="Times New Roman"/>
                <w:sz w:val="24"/>
              </w:rPr>
              <w:t>;</w:t>
            </w:r>
          </w:p>
          <w:p w:rsidR="00030D98" w:rsidRPr="00E91A16" w:rsidRDefault="00030D98" w:rsidP="001471DD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здатність </w:t>
            </w:r>
            <w:r>
              <w:rPr>
                <w:rFonts w:eastAsia="Times New Roman"/>
                <w:sz w:val="24"/>
              </w:rPr>
              <w:t>переконувати інших за допомогою аргументів та послідовної комунікації.</w:t>
            </w:r>
          </w:p>
        </w:tc>
      </w:tr>
      <w:tr w:rsidR="00030D98" w:rsidTr="001471DD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Default="00030D98" w:rsidP="001471D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030D98" w:rsidTr="001471DD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EC49B6" w:rsidRDefault="00030D98" w:rsidP="001471D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Default="00030D98" w:rsidP="001471D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030D98" w:rsidRPr="00802841" w:rsidTr="001471DD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B2160F" w:rsidRDefault="00030D98" w:rsidP="001471DD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Default="00030D98" w:rsidP="001471DD">
            <w:pPr>
              <w:pStyle w:val="rvps14"/>
              <w:rPr>
                <w:b/>
              </w:rPr>
            </w:pPr>
            <w:r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595167" w:rsidRDefault="00030D98" w:rsidP="001471D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Знання:</w:t>
            </w:r>
          </w:p>
          <w:p w:rsidR="00030D98" w:rsidRPr="00595167" w:rsidRDefault="001044CA" w:rsidP="001471D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5" w:tgtFrame="_blank" w:history="1">
              <w:r w:rsidR="00030D98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030D98" w:rsidRPr="00595167">
              <w:rPr>
                <w:rFonts w:eastAsia="Times New Roman"/>
                <w:sz w:val="24"/>
              </w:rPr>
              <w:t xml:space="preserve">; </w:t>
            </w:r>
          </w:p>
          <w:p w:rsidR="00030D98" w:rsidRPr="00595167" w:rsidRDefault="001044CA" w:rsidP="001471D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030D98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030D98" w:rsidRPr="00595167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030D98" w:rsidRDefault="00030D98" w:rsidP="001471D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Закону України «</w:t>
            </w:r>
            <w:r>
              <w:rPr>
                <w:rFonts w:eastAsia="Times New Roman"/>
                <w:sz w:val="24"/>
              </w:rPr>
              <w:t xml:space="preserve">Про запобігання корупції» </w:t>
            </w:r>
          </w:p>
          <w:p w:rsidR="00030D98" w:rsidRDefault="00030D98" w:rsidP="001471DD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030D98" w:rsidRPr="00802841" w:rsidTr="001471DD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7E00DD" w:rsidRDefault="00030D98" w:rsidP="001471DD">
            <w:pPr>
              <w:spacing w:after="20"/>
              <w:jc w:val="center"/>
              <w:rPr>
                <w:rFonts w:eastAsia="Times New Roman"/>
                <w:b/>
                <w:sz w:val="24"/>
              </w:rPr>
            </w:pPr>
            <w:r w:rsidRPr="007E00DD">
              <w:rPr>
                <w:rFonts w:eastAsia="Times New Roman"/>
                <w:b/>
                <w:sz w:val="24"/>
              </w:rPr>
              <w:t>22.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Default="00030D98" w:rsidP="001471DD">
            <w:pPr>
              <w:pStyle w:val="rvps14"/>
              <w:rPr>
                <w:b/>
              </w:rPr>
            </w:pPr>
            <w:r w:rsidRPr="007E00DD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7F5475" w:rsidRDefault="00030D98" w:rsidP="001471DD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 w:rsidRPr="00950C5A">
              <w:rPr>
                <w:sz w:val="24"/>
              </w:rPr>
              <w:t>Знання:</w:t>
            </w:r>
            <w:r w:rsidRPr="00E05FEE">
              <w:rPr>
                <w:color w:val="FF0000"/>
                <w:sz w:val="24"/>
              </w:rPr>
              <w:br/>
            </w:r>
            <w:r>
              <w:rPr>
                <w:sz w:val="24"/>
              </w:rPr>
              <w:t xml:space="preserve">  1</w:t>
            </w:r>
            <w:r w:rsidRPr="007F5475">
              <w:rPr>
                <w:sz w:val="24"/>
              </w:rPr>
              <w:t>) Земельного кодексу України;</w:t>
            </w:r>
          </w:p>
          <w:p w:rsidR="00030D98" w:rsidRPr="007F5475" w:rsidRDefault="00030D98" w:rsidP="001471DD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>
              <w:rPr>
                <w:sz w:val="24"/>
              </w:rPr>
              <w:t>2</w:t>
            </w:r>
            <w:r w:rsidRPr="007F5475">
              <w:rPr>
                <w:sz w:val="24"/>
              </w:rPr>
              <w:t>) Закону України «Про державний земельний кадастр»;</w:t>
            </w:r>
          </w:p>
          <w:p w:rsidR="00030D98" w:rsidRPr="007F5475" w:rsidRDefault="00030D98" w:rsidP="001471DD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>
              <w:rPr>
                <w:sz w:val="24"/>
              </w:rPr>
              <w:t>3</w:t>
            </w:r>
            <w:r w:rsidRPr="007F5475">
              <w:rPr>
                <w:sz w:val="24"/>
              </w:rPr>
              <w:t>) Закону України «Про оцінку земель»;</w:t>
            </w:r>
          </w:p>
          <w:p w:rsidR="00030D98" w:rsidRPr="007F5475" w:rsidRDefault="00030D98" w:rsidP="001471DD">
            <w:pPr>
              <w:tabs>
                <w:tab w:val="left" w:pos="317"/>
              </w:tabs>
              <w:ind w:right="147" w:firstLine="127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F5475">
              <w:rPr>
                <w:sz w:val="24"/>
              </w:rPr>
              <w:t>) Закону України «Про землеустрій»;</w:t>
            </w:r>
          </w:p>
          <w:p w:rsidR="00030D98" w:rsidRDefault="00030D98" w:rsidP="001471DD">
            <w:pPr>
              <w:tabs>
                <w:tab w:val="left" w:pos="321"/>
              </w:tabs>
              <w:ind w:left="127" w:right="140"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Pr="007F5475">
              <w:rPr>
                <w:sz w:val="24"/>
              </w:rPr>
              <w:t>) Закону України «Про охорону земель».</w:t>
            </w:r>
          </w:p>
          <w:p w:rsidR="00030D98" w:rsidRPr="002F28DB" w:rsidRDefault="00030D98" w:rsidP="001471DD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>
              <w:rPr>
                <w:sz w:val="24"/>
              </w:rPr>
              <w:t>Постанова Кабінету Міністрів України від 17.10.2012 № 1051 «Про затвердження Порядку ведення Державного земельного кадастру».</w:t>
            </w:r>
          </w:p>
        </w:tc>
      </w:tr>
      <w:tr w:rsidR="00030D98" w:rsidRPr="00802841" w:rsidTr="001471DD">
        <w:trPr>
          <w:trHeight w:val="68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002055" w:rsidRDefault="00030D98" w:rsidP="001471DD">
            <w:pPr>
              <w:pStyle w:val="rvps12"/>
              <w:jc w:val="center"/>
              <w:rPr>
                <w:b/>
              </w:rPr>
            </w:pPr>
            <w:r w:rsidRPr="00002055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7E00DD" w:rsidRDefault="00030D98" w:rsidP="001471DD">
            <w:pPr>
              <w:pStyle w:val="rvps14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Знання системи земельних відносин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98" w:rsidRPr="00481ED2" w:rsidRDefault="00030D98" w:rsidP="001471DD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 w:rsidRPr="00481ED2">
              <w:rPr>
                <w:sz w:val="24"/>
              </w:rPr>
              <w:t>Реалізація державної політики з питань регулювання земельних відносин</w:t>
            </w:r>
            <w:r>
              <w:rPr>
                <w:sz w:val="24"/>
              </w:rPr>
              <w:t>.</w:t>
            </w:r>
          </w:p>
        </w:tc>
      </w:tr>
    </w:tbl>
    <w:p w:rsidR="00030D98" w:rsidRDefault="00030D98" w:rsidP="00030D98"/>
    <w:p w:rsidR="00030D98" w:rsidRDefault="00030D98" w:rsidP="00030D98"/>
    <w:p w:rsidR="00A94EC0" w:rsidRDefault="00A94EC0"/>
    <w:sectPr w:rsidR="00A94EC0" w:rsidSect="0075333C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D98"/>
    <w:rsid w:val="00030D98"/>
    <w:rsid w:val="001044CA"/>
    <w:rsid w:val="00315681"/>
    <w:rsid w:val="008E0CA0"/>
    <w:rsid w:val="009867E4"/>
    <w:rsid w:val="00A9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66D1F-AD8F-44D9-989B-9D5FAFFB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9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D98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030D9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030D98"/>
    <w:rPr>
      <w:rFonts w:cs="Times New Roman"/>
    </w:rPr>
  </w:style>
  <w:style w:type="paragraph" w:styleId="a4">
    <w:name w:val="Normal (Web)"/>
    <w:basedOn w:val="a"/>
    <w:rsid w:val="00030D9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030D98"/>
    <w:rPr>
      <w:rFonts w:cs="Times New Roman"/>
    </w:rPr>
  </w:style>
  <w:style w:type="paragraph" w:customStyle="1" w:styleId="rvps12">
    <w:name w:val="rvps12"/>
    <w:basedOn w:val="a"/>
    <w:rsid w:val="00030D9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030D9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044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4CA"/>
    <w:rPr>
      <w:rFonts w:ascii="Segoe UI" w:eastAsia="Calibr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0.rada.gov.ua/laws/show/889-19" TargetMode="External"/><Relationship Id="rId5" Type="http://schemas.openxmlformats.org/officeDocument/2006/relationships/hyperlink" Target="http://zakon0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dilovod</dc:creator>
  <cp:lastModifiedBy>Olya</cp:lastModifiedBy>
  <cp:revision>9</cp:revision>
  <cp:lastPrinted>2021-05-07T05:54:00Z</cp:lastPrinted>
  <dcterms:created xsi:type="dcterms:W3CDTF">2021-04-27T11:38:00Z</dcterms:created>
  <dcterms:modified xsi:type="dcterms:W3CDTF">2021-05-07T05:55:00Z</dcterms:modified>
</cp:coreProperties>
</file>